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D132" w14:textId="780F7DDD" w:rsidR="008B32E7" w:rsidRDefault="008B32E7" w:rsidP="008B32E7">
      <w:pPr>
        <w:jc w:val="center"/>
      </w:pPr>
      <w:r w:rsidRPr="00B201E6">
        <w:rPr>
          <w:rFonts w:cstheme="minorHAnsi"/>
          <w:noProof/>
          <w:lang w:eastAsia="es-ES"/>
        </w:rPr>
        <w:drawing>
          <wp:inline distT="0" distB="0" distL="0" distR="0" wp14:anchorId="46291CB1" wp14:editId="76D8D926">
            <wp:extent cx="5400040" cy="164163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41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FFF53" w14:textId="31945111" w:rsidR="008B32E7" w:rsidRPr="005A70A9" w:rsidRDefault="008B32E7" w:rsidP="008B32E7">
      <w:pPr>
        <w:spacing w:after="120" w:line="240" w:lineRule="auto"/>
        <w:ind w:left="113" w:right="113"/>
        <w:jc w:val="both"/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</w:pPr>
      <w:r w:rsidRPr="00B201E6">
        <w:rPr>
          <w:rFonts w:eastAsia="+mn-ea" w:cstheme="minorHAnsi"/>
          <w:b/>
          <w:bCs/>
          <w:color w:val="000000" w:themeColor="text1"/>
          <w:kern w:val="24"/>
          <w:sz w:val="18"/>
          <w:szCs w:val="18"/>
          <w:lang w:val="en-GB"/>
        </w:rPr>
        <w:t xml:space="preserve">Irrigation with </w:t>
      </w:r>
      <w:r w:rsidRPr="00B201E6">
        <w:rPr>
          <w:rFonts w:cstheme="minorHAnsi"/>
          <w:b/>
          <w:bCs/>
          <w:color w:val="000000" w:themeColor="text1"/>
          <w:sz w:val="18"/>
          <w:szCs w:val="18"/>
          <w:lang w:val="en-GB"/>
        </w:rPr>
        <w:t xml:space="preserve">cell-free fungal cultures </w:t>
      </w:r>
      <w:r>
        <w:rPr>
          <w:rFonts w:cstheme="minorHAnsi"/>
          <w:b/>
          <w:bCs/>
          <w:color w:val="000000" w:themeColor="text1"/>
          <w:sz w:val="18"/>
          <w:szCs w:val="18"/>
          <w:lang w:val="en-GB"/>
        </w:rPr>
        <w:t xml:space="preserve">and </w:t>
      </w:r>
      <w:r w:rsidRPr="00B201E6">
        <w:rPr>
          <w:rFonts w:eastAsia="+mn-ea" w:cstheme="minorHAnsi"/>
          <w:b/>
          <w:bCs/>
          <w:color w:val="000000" w:themeColor="text1"/>
          <w:kern w:val="24"/>
          <w:sz w:val="18"/>
          <w:szCs w:val="18"/>
          <w:lang w:val="en-GB"/>
        </w:rPr>
        <w:t xml:space="preserve">distillates obtained from fungal cultures increase root growth (A) and commercial yield (B) in pepper plants (cv. Sweet </w:t>
      </w:r>
      <w:proofErr w:type="spellStart"/>
      <w:r w:rsidRPr="00B201E6">
        <w:rPr>
          <w:rFonts w:eastAsia="+mn-ea" w:cstheme="minorHAnsi"/>
          <w:b/>
          <w:bCs/>
          <w:color w:val="000000" w:themeColor="text1"/>
          <w:kern w:val="24"/>
          <w:sz w:val="18"/>
          <w:szCs w:val="18"/>
          <w:lang w:val="en-GB"/>
        </w:rPr>
        <w:t>italian</w:t>
      </w:r>
      <w:proofErr w:type="spellEnd"/>
      <w:r w:rsidRPr="00B201E6">
        <w:rPr>
          <w:rFonts w:eastAsia="+mn-ea" w:cstheme="minorHAnsi"/>
          <w:b/>
          <w:bCs/>
          <w:color w:val="000000" w:themeColor="text1"/>
          <w:kern w:val="24"/>
          <w:sz w:val="18"/>
          <w:szCs w:val="18"/>
          <w:lang w:val="en-GB"/>
        </w:rPr>
        <w:t xml:space="preserve">) under greenhouse conditions. </w:t>
      </w:r>
      <w:r w:rsidRPr="00B201E6"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  <w:t>Pepper plants were irrigated with cell-free filtrates (CF) or distillates (DE) from a plant growth promoting fungus (</w:t>
      </w:r>
      <w:r w:rsidRPr="00B201E6">
        <w:rPr>
          <w:rFonts w:eastAsia="+mn-ea" w:cstheme="minorHAnsi"/>
          <w:bCs/>
          <w:i/>
          <w:iCs/>
          <w:color w:val="000000" w:themeColor="text1"/>
          <w:kern w:val="24"/>
          <w:sz w:val="18"/>
          <w:szCs w:val="18"/>
          <w:lang w:val="en-GB"/>
        </w:rPr>
        <w:t xml:space="preserve">T. </w:t>
      </w:r>
      <w:proofErr w:type="spellStart"/>
      <w:r w:rsidRPr="00B201E6">
        <w:rPr>
          <w:rFonts w:eastAsia="+mn-ea" w:cstheme="minorHAnsi"/>
          <w:bCs/>
          <w:i/>
          <w:iCs/>
          <w:color w:val="000000" w:themeColor="text1"/>
          <w:kern w:val="24"/>
          <w:sz w:val="18"/>
          <w:szCs w:val="18"/>
          <w:lang w:val="en-GB"/>
        </w:rPr>
        <w:t>harzianum</w:t>
      </w:r>
      <w:proofErr w:type="spellEnd"/>
      <w:r w:rsidRPr="00B201E6">
        <w:rPr>
          <w:rFonts w:eastAsia="+mn-ea" w:cstheme="minorHAnsi"/>
          <w:bCs/>
          <w:i/>
          <w:iCs/>
          <w:color w:val="000000" w:themeColor="text1"/>
          <w:kern w:val="24"/>
          <w:sz w:val="18"/>
          <w:szCs w:val="18"/>
          <w:lang w:val="en-GB"/>
        </w:rPr>
        <w:t xml:space="preserve"> </w:t>
      </w:r>
      <w:r w:rsidRPr="00B201E6"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  <w:t>(TH)) and two fungal phytopathogens (</w:t>
      </w:r>
      <w:r w:rsidRPr="00B201E6">
        <w:rPr>
          <w:rFonts w:eastAsia="+mn-ea" w:cstheme="minorHAnsi"/>
          <w:bCs/>
          <w:i/>
          <w:iCs/>
          <w:color w:val="000000" w:themeColor="text1"/>
          <w:kern w:val="24"/>
          <w:sz w:val="18"/>
          <w:szCs w:val="18"/>
          <w:lang w:val="en-GB"/>
        </w:rPr>
        <w:t xml:space="preserve">A. </w:t>
      </w:r>
      <w:proofErr w:type="spellStart"/>
      <w:r w:rsidRPr="00B201E6">
        <w:rPr>
          <w:rFonts w:eastAsia="+mn-ea" w:cstheme="minorHAnsi"/>
          <w:bCs/>
          <w:i/>
          <w:iCs/>
          <w:color w:val="000000" w:themeColor="text1"/>
          <w:kern w:val="24"/>
          <w:sz w:val="18"/>
          <w:szCs w:val="18"/>
          <w:lang w:val="en-GB"/>
        </w:rPr>
        <w:t>alternata</w:t>
      </w:r>
      <w:proofErr w:type="spellEnd"/>
      <w:r w:rsidRPr="00B201E6">
        <w:rPr>
          <w:rFonts w:eastAsia="+mn-ea" w:cstheme="minorHAnsi"/>
          <w:bCs/>
          <w:i/>
          <w:iCs/>
          <w:color w:val="000000" w:themeColor="text1"/>
          <w:kern w:val="24"/>
          <w:sz w:val="18"/>
          <w:szCs w:val="18"/>
          <w:lang w:val="en-GB"/>
        </w:rPr>
        <w:t xml:space="preserve"> </w:t>
      </w:r>
      <w:r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  <w:t>(AA) and</w:t>
      </w:r>
      <w:r w:rsidRPr="00B201E6"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  <w:t xml:space="preserve"> </w:t>
      </w:r>
      <w:r w:rsidRPr="00B201E6">
        <w:rPr>
          <w:rFonts w:eastAsia="+mn-ea" w:cstheme="minorHAnsi"/>
          <w:bCs/>
          <w:i/>
          <w:iCs/>
          <w:color w:val="000000" w:themeColor="text1"/>
          <w:kern w:val="24"/>
          <w:sz w:val="18"/>
          <w:szCs w:val="18"/>
          <w:lang w:val="en-GB"/>
        </w:rPr>
        <w:t xml:space="preserve">P. </w:t>
      </w:r>
      <w:proofErr w:type="spellStart"/>
      <w:r w:rsidRPr="00B201E6">
        <w:rPr>
          <w:rFonts w:eastAsia="+mn-ea" w:cstheme="minorHAnsi"/>
          <w:bCs/>
          <w:i/>
          <w:iCs/>
          <w:color w:val="000000" w:themeColor="text1"/>
          <w:kern w:val="24"/>
          <w:sz w:val="18"/>
          <w:szCs w:val="18"/>
          <w:lang w:val="en-GB"/>
        </w:rPr>
        <w:t>aurantiogriseum</w:t>
      </w:r>
      <w:proofErr w:type="spellEnd"/>
      <w:r w:rsidRPr="00B201E6">
        <w:rPr>
          <w:rFonts w:eastAsia="+mn-ea" w:cstheme="minorHAnsi"/>
          <w:bCs/>
          <w:i/>
          <w:iCs/>
          <w:color w:val="000000" w:themeColor="text1"/>
          <w:kern w:val="24"/>
          <w:sz w:val="18"/>
          <w:szCs w:val="18"/>
          <w:lang w:val="en-GB"/>
        </w:rPr>
        <w:t xml:space="preserve"> </w:t>
      </w:r>
      <w:r w:rsidRPr="00B201E6"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  <w:t>(PA)), while controls were irrigated with wasted medium and water, respectively. Values are the means ± S</w:t>
      </w:r>
      <w:r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  <w:t>E</w:t>
      </w:r>
      <w:r w:rsidRPr="00B201E6"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  <w:t xml:space="preserve"> obtained from analyses of sets of 12 independent plants. </w:t>
      </w:r>
      <w:r w:rsidRPr="005A70A9"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  <w:t xml:space="preserve">Data from </w:t>
      </w:r>
      <w:hyperlink r:id="rId6" w:history="1">
        <w:r w:rsidRPr="001E2BE7">
          <w:rPr>
            <w:rStyle w:val="Hipervnculo"/>
            <w:rFonts w:eastAsia="+mn-ea" w:cstheme="minorHAnsi"/>
            <w:bCs/>
            <w:color w:val="000000" w:themeColor="text1"/>
            <w:kern w:val="24"/>
            <w:sz w:val="18"/>
            <w:szCs w:val="18"/>
            <w:lang w:val="en-GB"/>
          </w:rPr>
          <w:t>Baroja-Fernández et al., 2021</w:t>
        </w:r>
      </w:hyperlink>
      <w:r w:rsidRPr="001E2BE7">
        <w:rPr>
          <w:rFonts w:eastAsia="+mn-ea" w:cstheme="minorHAnsi"/>
          <w:bCs/>
          <w:color w:val="000000" w:themeColor="text1"/>
          <w:kern w:val="24"/>
          <w:sz w:val="18"/>
          <w:szCs w:val="18"/>
          <w:lang w:val="en-GB"/>
        </w:rPr>
        <w:t>.</w:t>
      </w:r>
    </w:p>
    <w:p w14:paraId="055C902F" w14:textId="21F6C9A7" w:rsidR="008B32E7" w:rsidRDefault="008B32E7" w:rsidP="008B32E7">
      <w:pPr>
        <w:jc w:val="center"/>
      </w:pPr>
    </w:p>
    <w:p w14:paraId="13A2C24B" w14:textId="7F58A535" w:rsidR="008B32E7" w:rsidRDefault="008B32E7" w:rsidP="008B32E7">
      <w:pPr>
        <w:jc w:val="center"/>
      </w:pPr>
      <w:r w:rsidRPr="00B201E6">
        <w:rPr>
          <w:rFonts w:cstheme="minorHAnsi"/>
          <w:noProof/>
          <w:lang w:eastAsia="es-ES"/>
        </w:rPr>
        <w:drawing>
          <wp:inline distT="0" distB="0" distL="0" distR="0" wp14:anchorId="40531054" wp14:editId="4DA64958">
            <wp:extent cx="2722880" cy="16891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186" cy="172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B0061" w14:textId="77777777" w:rsidR="008B32E7" w:rsidRPr="00B201E6" w:rsidRDefault="008B32E7" w:rsidP="008B32E7">
      <w:pPr>
        <w:spacing w:after="120" w:line="240" w:lineRule="auto"/>
        <w:ind w:left="113" w:right="113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B201E6">
        <w:rPr>
          <w:rFonts w:cstheme="minorHAnsi"/>
          <w:b/>
          <w:bCs/>
          <w:color w:val="000000" w:themeColor="text1"/>
          <w:sz w:val="18"/>
          <w:szCs w:val="18"/>
          <w:lang w:val="en-GB"/>
        </w:rPr>
        <w:t xml:space="preserve">Irrigation with cell-free fungal cultures increase commercial yield in pepper plants (cv. Piquillo) in open field. </w:t>
      </w:r>
      <w:r w:rsidRPr="00B201E6">
        <w:rPr>
          <w:rFonts w:cstheme="minorHAnsi"/>
          <w:color w:val="000000" w:themeColor="text1"/>
          <w:sz w:val="18"/>
          <w:szCs w:val="18"/>
          <w:lang w:val="en-GB"/>
        </w:rPr>
        <w:t>Pepper plants were irrigated with cell-free filtrates (CF) from a plant growth promoting fungus (</w:t>
      </w:r>
      <w:r w:rsidRPr="00B201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T. </w:t>
      </w:r>
      <w:proofErr w:type="spellStart"/>
      <w:r w:rsidRPr="00B201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>harzianum</w:t>
      </w:r>
      <w:proofErr w:type="spellEnd"/>
      <w:r w:rsidRPr="00B201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B201E6">
        <w:rPr>
          <w:rFonts w:cstheme="minorHAnsi"/>
          <w:color w:val="000000" w:themeColor="text1"/>
          <w:sz w:val="18"/>
          <w:szCs w:val="18"/>
          <w:lang w:val="en-GB"/>
        </w:rPr>
        <w:t>(TH)) and two fungal phytopathogens (</w:t>
      </w:r>
      <w:r w:rsidRPr="00B201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A. </w:t>
      </w:r>
      <w:proofErr w:type="spellStart"/>
      <w:r w:rsidRPr="00B201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>alternata</w:t>
      </w:r>
      <w:proofErr w:type="spellEnd"/>
      <w:r w:rsidRPr="00B201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B201E6">
        <w:rPr>
          <w:rFonts w:cstheme="minorHAnsi"/>
          <w:color w:val="000000" w:themeColor="text1"/>
          <w:sz w:val="18"/>
          <w:szCs w:val="18"/>
          <w:lang w:val="en-GB"/>
        </w:rPr>
        <w:t xml:space="preserve">(AA) and </w:t>
      </w:r>
      <w:r w:rsidRPr="00B201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P. </w:t>
      </w:r>
      <w:proofErr w:type="spellStart"/>
      <w:r w:rsidRPr="00B201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>aurantiogriseum</w:t>
      </w:r>
      <w:proofErr w:type="spellEnd"/>
      <w:r w:rsidRPr="00B201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B201E6">
        <w:rPr>
          <w:rFonts w:cstheme="minorHAnsi"/>
          <w:color w:val="000000" w:themeColor="text1"/>
          <w:sz w:val="18"/>
          <w:szCs w:val="18"/>
          <w:lang w:val="en-GB"/>
        </w:rPr>
        <w:t xml:space="preserve">(PA)), while controls were irrigated with wasted medium. </w:t>
      </w:r>
      <w:r w:rsidRPr="00B201E6">
        <w:rPr>
          <w:rFonts w:cstheme="minorHAnsi"/>
          <w:color w:val="000000" w:themeColor="text1"/>
          <w:sz w:val="18"/>
          <w:szCs w:val="18"/>
          <w:lang w:val="en-US"/>
        </w:rPr>
        <w:t>The results are the mean ± SE of 210 plants per treatment</w:t>
      </w:r>
      <w:r w:rsidRPr="00B201E6">
        <w:rPr>
          <w:rFonts w:cstheme="minorHAnsi"/>
          <w:color w:val="000000" w:themeColor="text1"/>
          <w:sz w:val="18"/>
          <w:szCs w:val="18"/>
          <w:lang w:val="en-GB"/>
        </w:rPr>
        <w:t xml:space="preserve">. Data from </w:t>
      </w:r>
      <w:hyperlink r:id="rId8" w:history="1">
        <w:r w:rsidRPr="001E2BE7">
          <w:rPr>
            <w:rStyle w:val="Hipervnculo"/>
            <w:rFonts w:eastAsia="+mn-ea" w:cstheme="minorHAnsi"/>
            <w:bCs/>
            <w:color w:val="000000" w:themeColor="text1"/>
            <w:kern w:val="24"/>
            <w:sz w:val="18"/>
            <w:szCs w:val="18"/>
            <w:lang w:val="en-GB"/>
          </w:rPr>
          <w:t>Baroja-Fernández et al., 2021</w:t>
        </w:r>
      </w:hyperlink>
      <w:r w:rsidRPr="00B201E6">
        <w:rPr>
          <w:rFonts w:cstheme="minorHAnsi"/>
          <w:color w:val="000000" w:themeColor="text1"/>
          <w:sz w:val="18"/>
          <w:szCs w:val="18"/>
          <w:lang w:val="en-GB"/>
        </w:rPr>
        <w:t>.</w:t>
      </w:r>
    </w:p>
    <w:p w14:paraId="7072583E" w14:textId="77777777" w:rsidR="008B32E7" w:rsidRDefault="008B32E7" w:rsidP="008B32E7"/>
    <w:p w14:paraId="1AC79EEB" w14:textId="1B70D0F4" w:rsidR="00ED7C55" w:rsidRDefault="008B32E7" w:rsidP="008B32E7">
      <w:pPr>
        <w:jc w:val="center"/>
      </w:pPr>
      <w:r w:rsidRPr="00B201E6">
        <w:rPr>
          <w:noProof/>
          <w:lang w:eastAsia="es-ES"/>
        </w:rPr>
        <w:drawing>
          <wp:inline distT="0" distB="0" distL="0" distR="0" wp14:anchorId="556DDC22" wp14:editId="72A2D559">
            <wp:extent cx="2661942" cy="1762056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45" cy="178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4172C" w14:textId="23FC4AE1" w:rsidR="008B32E7" w:rsidRDefault="008B32E7" w:rsidP="008B32E7">
      <w:pPr>
        <w:spacing w:after="120" w:line="240" w:lineRule="auto"/>
        <w:ind w:right="113"/>
        <w:jc w:val="both"/>
        <w:rPr>
          <w:rFonts w:eastAsiaTheme="minorEastAsia" w:cstheme="minorHAnsi"/>
          <w:color w:val="000000" w:themeColor="text1"/>
          <w:kern w:val="24"/>
          <w:sz w:val="16"/>
          <w:szCs w:val="16"/>
          <w:lang w:val="en-GB" w:eastAsia="es-ES"/>
        </w:rPr>
      </w:pPr>
      <w:r w:rsidRPr="00B16496">
        <w:rPr>
          <w:rFonts w:eastAsiaTheme="minorEastAsia" w:cstheme="minorHAnsi"/>
          <w:b/>
          <w:bCs/>
          <w:color w:val="000000" w:themeColor="text1"/>
          <w:kern w:val="24"/>
          <w:sz w:val="18"/>
          <w:szCs w:val="18"/>
          <w:lang w:val="en-GB" w:eastAsia="es-ES"/>
        </w:rPr>
        <w:t xml:space="preserve">Volatile emissions of </w:t>
      </w:r>
      <w:r w:rsidRPr="00B16496">
        <w:rPr>
          <w:rFonts w:eastAsiaTheme="minorEastAsia" w:cstheme="minorHAnsi"/>
          <w:b/>
          <w:bCs/>
          <w:i/>
          <w:iCs/>
          <w:color w:val="000000" w:themeColor="text1"/>
          <w:kern w:val="24"/>
          <w:sz w:val="18"/>
          <w:szCs w:val="18"/>
          <w:lang w:val="en-GB" w:eastAsia="es-ES"/>
        </w:rPr>
        <w:t xml:space="preserve">P. </w:t>
      </w:r>
      <w:proofErr w:type="spellStart"/>
      <w:r w:rsidRPr="00B16496">
        <w:rPr>
          <w:rFonts w:eastAsiaTheme="minorEastAsia" w:cstheme="minorHAnsi"/>
          <w:b/>
          <w:bCs/>
          <w:i/>
          <w:iCs/>
          <w:color w:val="000000" w:themeColor="text1"/>
          <w:kern w:val="24"/>
          <w:sz w:val="18"/>
          <w:szCs w:val="18"/>
          <w:lang w:val="en-GB" w:eastAsia="es-ES"/>
        </w:rPr>
        <w:t>aurantiogriseum</w:t>
      </w:r>
      <w:proofErr w:type="spellEnd"/>
      <w:r w:rsidRPr="00B16496">
        <w:rPr>
          <w:rFonts w:eastAsiaTheme="minorEastAsia" w:cstheme="minorHAnsi"/>
          <w:b/>
          <w:bCs/>
          <w:i/>
          <w:iCs/>
          <w:color w:val="000000" w:themeColor="text1"/>
          <w:kern w:val="24"/>
          <w:sz w:val="18"/>
          <w:szCs w:val="18"/>
          <w:lang w:val="en-GB" w:eastAsia="es-ES"/>
        </w:rPr>
        <w:t xml:space="preserve"> </w:t>
      </w:r>
      <w:r w:rsidRPr="00B16496">
        <w:rPr>
          <w:rFonts w:eastAsiaTheme="minorEastAsia" w:cstheme="minorHAnsi"/>
          <w:b/>
          <w:bCs/>
          <w:color w:val="000000" w:themeColor="text1"/>
          <w:kern w:val="24"/>
          <w:sz w:val="18"/>
          <w:szCs w:val="18"/>
          <w:lang w:val="en-GB" w:eastAsia="es-ES"/>
        </w:rPr>
        <w:t xml:space="preserve">and </w:t>
      </w:r>
      <w:r w:rsidRPr="00B16496">
        <w:rPr>
          <w:rFonts w:eastAsiaTheme="minorEastAsia" w:cstheme="minorHAnsi"/>
          <w:b/>
          <w:bCs/>
          <w:i/>
          <w:iCs/>
          <w:color w:val="000000" w:themeColor="text1"/>
          <w:kern w:val="24"/>
          <w:sz w:val="18"/>
          <w:szCs w:val="18"/>
          <w:lang w:val="en-GB" w:eastAsia="es-ES"/>
        </w:rPr>
        <w:t>A</w:t>
      </w:r>
      <w:r>
        <w:rPr>
          <w:rFonts w:eastAsiaTheme="minorEastAsia" w:cstheme="minorHAnsi"/>
          <w:b/>
          <w:bCs/>
          <w:i/>
          <w:iCs/>
          <w:color w:val="000000" w:themeColor="text1"/>
          <w:kern w:val="24"/>
          <w:sz w:val="18"/>
          <w:szCs w:val="18"/>
          <w:lang w:val="en-GB" w:eastAsia="es-ES"/>
        </w:rPr>
        <w:t>lternaria</w:t>
      </w:r>
      <w:r w:rsidRPr="00B16496">
        <w:rPr>
          <w:rFonts w:eastAsiaTheme="minorEastAsia" w:cstheme="minorHAnsi"/>
          <w:b/>
          <w:bCs/>
          <w:i/>
          <w:iCs/>
          <w:color w:val="000000" w:themeColor="text1"/>
          <w:kern w:val="24"/>
          <w:sz w:val="18"/>
          <w:szCs w:val="18"/>
          <w:lang w:val="en-GB" w:eastAsia="es-ES"/>
        </w:rPr>
        <w:t xml:space="preserve"> </w:t>
      </w:r>
      <w:proofErr w:type="spellStart"/>
      <w:r w:rsidRPr="00B16496">
        <w:rPr>
          <w:rFonts w:eastAsiaTheme="minorEastAsia" w:cstheme="minorHAnsi"/>
          <w:b/>
          <w:bCs/>
          <w:i/>
          <w:iCs/>
          <w:color w:val="000000" w:themeColor="text1"/>
          <w:kern w:val="24"/>
          <w:sz w:val="18"/>
          <w:szCs w:val="18"/>
          <w:lang w:val="en-GB" w:eastAsia="es-ES"/>
        </w:rPr>
        <w:t>alternata</w:t>
      </w:r>
      <w:proofErr w:type="spellEnd"/>
      <w:r w:rsidRPr="00B16496">
        <w:rPr>
          <w:rFonts w:eastAsiaTheme="minorEastAsia" w:cstheme="minorHAnsi"/>
          <w:b/>
          <w:bCs/>
          <w:i/>
          <w:iCs/>
          <w:color w:val="000000" w:themeColor="text1"/>
          <w:kern w:val="24"/>
          <w:sz w:val="18"/>
          <w:szCs w:val="18"/>
          <w:lang w:val="en-GB" w:eastAsia="es-ES"/>
        </w:rPr>
        <w:t xml:space="preserve"> </w:t>
      </w:r>
      <w:r w:rsidRPr="00B16496">
        <w:rPr>
          <w:rFonts w:eastAsiaTheme="minorEastAsia" w:cstheme="minorHAnsi"/>
          <w:b/>
          <w:bCs/>
          <w:color w:val="000000" w:themeColor="text1"/>
          <w:kern w:val="24"/>
          <w:sz w:val="18"/>
          <w:szCs w:val="18"/>
          <w:lang w:val="en-GB" w:eastAsia="es-ES"/>
        </w:rPr>
        <w:t xml:space="preserve">improve plant growth in nutrient-deficient medium. </w:t>
      </w:r>
      <w:r w:rsidRPr="00B16496">
        <w:rPr>
          <w:rFonts w:eastAsiaTheme="minorEastAsia" w:cstheme="minorHAnsi"/>
          <w:color w:val="000000" w:themeColor="text1"/>
          <w:kern w:val="24"/>
          <w:sz w:val="16"/>
          <w:szCs w:val="16"/>
          <w:lang w:val="en-GB" w:eastAsia="es-ES"/>
        </w:rPr>
        <w:t xml:space="preserve">Fresh weight of Arabidopsis plants grown in the absence or continuous presence for a week of adjacent cultures of </w:t>
      </w:r>
      <w:r w:rsidRPr="00B16496">
        <w:rPr>
          <w:rFonts w:eastAsiaTheme="minorEastAsia" w:cstheme="minorHAnsi"/>
          <w:i/>
          <w:iCs/>
          <w:color w:val="000000" w:themeColor="text1"/>
          <w:kern w:val="24"/>
          <w:sz w:val="16"/>
          <w:szCs w:val="16"/>
          <w:lang w:val="en-GB" w:eastAsia="es-ES"/>
        </w:rPr>
        <w:t xml:space="preserve">P. </w:t>
      </w:r>
      <w:proofErr w:type="spellStart"/>
      <w:r w:rsidRPr="00B16496">
        <w:rPr>
          <w:rFonts w:eastAsiaTheme="minorEastAsia" w:cstheme="minorHAnsi"/>
          <w:i/>
          <w:iCs/>
          <w:color w:val="000000" w:themeColor="text1"/>
          <w:kern w:val="24"/>
          <w:sz w:val="16"/>
          <w:szCs w:val="16"/>
          <w:lang w:val="en-GB" w:eastAsia="es-ES"/>
        </w:rPr>
        <w:t>aurantiogriseum</w:t>
      </w:r>
      <w:proofErr w:type="spellEnd"/>
      <w:r w:rsidRPr="00B16496">
        <w:rPr>
          <w:rFonts w:eastAsiaTheme="minorEastAsia" w:cstheme="minorHAnsi"/>
          <w:i/>
          <w:iCs/>
          <w:color w:val="000000" w:themeColor="text1"/>
          <w:kern w:val="24"/>
          <w:sz w:val="16"/>
          <w:szCs w:val="16"/>
          <w:lang w:val="en-GB" w:eastAsia="es-ES"/>
        </w:rPr>
        <w:t xml:space="preserve"> </w:t>
      </w:r>
      <w:r w:rsidRPr="00B16496">
        <w:rPr>
          <w:rFonts w:eastAsiaTheme="minorEastAsia" w:cstheme="minorHAnsi"/>
          <w:color w:val="000000" w:themeColor="text1"/>
          <w:kern w:val="24"/>
          <w:sz w:val="16"/>
          <w:szCs w:val="16"/>
          <w:lang w:val="en-GB" w:eastAsia="es-ES"/>
        </w:rPr>
        <w:t xml:space="preserve">(PA) or </w:t>
      </w:r>
      <w:r w:rsidRPr="00B16496">
        <w:rPr>
          <w:rFonts w:eastAsiaTheme="minorEastAsia" w:cstheme="minorHAnsi"/>
          <w:i/>
          <w:iCs/>
          <w:color w:val="000000" w:themeColor="text1"/>
          <w:kern w:val="24"/>
          <w:sz w:val="16"/>
          <w:szCs w:val="16"/>
          <w:lang w:val="en-GB" w:eastAsia="es-ES"/>
        </w:rPr>
        <w:t xml:space="preserve">A. </w:t>
      </w:r>
      <w:proofErr w:type="spellStart"/>
      <w:r w:rsidRPr="00B16496">
        <w:rPr>
          <w:rFonts w:eastAsiaTheme="minorEastAsia" w:cstheme="minorHAnsi"/>
          <w:i/>
          <w:iCs/>
          <w:color w:val="000000" w:themeColor="text1"/>
          <w:kern w:val="24"/>
          <w:sz w:val="16"/>
          <w:szCs w:val="16"/>
          <w:lang w:val="en-GB" w:eastAsia="es-ES"/>
        </w:rPr>
        <w:t>alternata</w:t>
      </w:r>
      <w:proofErr w:type="spellEnd"/>
      <w:r w:rsidRPr="00B16496">
        <w:rPr>
          <w:rFonts w:eastAsiaTheme="minorEastAsia" w:cstheme="minorHAnsi"/>
          <w:color w:val="000000" w:themeColor="text1"/>
          <w:kern w:val="24"/>
          <w:sz w:val="16"/>
          <w:szCs w:val="16"/>
          <w:lang w:val="en-GB" w:eastAsia="es-ES"/>
        </w:rPr>
        <w:t xml:space="preserve"> (AA) and in complete (control) and N-deficient medium for 14 days. Seeds were germinated on ½ MS medium for a week and then transferred to complete or deficient ½ MS medium for another week before exposure to fungal volatiles (VC</w:t>
      </w:r>
      <w:r>
        <w:rPr>
          <w:rFonts w:eastAsiaTheme="minorEastAsia" w:cstheme="minorHAnsi"/>
          <w:color w:val="000000" w:themeColor="text1"/>
          <w:kern w:val="24"/>
          <w:sz w:val="16"/>
          <w:szCs w:val="16"/>
          <w:lang w:val="en-GB" w:eastAsia="es-ES"/>
        </w:rPr>
        <w:t>s</w:t>
      </w:r>
      <w:r w:rsidRPr="00B16496">
        <w:rPr>
          <w:rFonts w:eastAsiaTheme="minorEastAsia" w:cstheme="minorHAnsi"/>
          <w:color w:val="000000" w:themeColor="text1"/>
          <w:kern w:val="24"/>
          <w:sz w:val="16"/>
          <w:szCs w:val="16"/>
          <w:lang w:val="en-GB" w:eastAsia="es-ES"/>
        </w:rPr>
        <w:t xml:space="preserve">). Results are the means </w:t>
      </w:r>
      <w:r w:rsidRPr="00B16496">
        <w:rPr>
          <w:rFonts w:eastAsia="+mn-ea" w:cstheme="minorHAnsi"/>
          <w:bCs/>
          <w:color w:val="000000" w:themeColor="text1"/>
          <w:kern w:val="24"/>
          <w:sz w:val="16"/>
          <w:szCs w:val="16"/>
          <w:lang w:val="en-GB"/>
        </w:rPr>
        <w:t xml:space="preserve">± </w:t>
      </w:r>
      <w:r w:rsidRPr="00B16496">
        <w:rPr>
          <w:rFonts w:eastAsiaTheme="minorEastAsia" w:cstheme="minorHAnsi"/>
          <w:color w:val="000000" w:themeColor="text1"/>
          <w:kern w:val="24"/>
          <w:sz w:val="16"/>
          <w:szCs w:val="16"/>
          <w:lang w:val="en-GB" w:eastAsia="es-ES"/>
        </w:rPr>
        <w:t xml:space="preserve">SE obtained from analyses of 18 plants per treatment. </w:t>
      </w:r>
    </w:p>
    <w:p w14:paraId="20D14FEA" w14:textId="18F38400" w:rsidR="008B32E7" w:rsidRDefault="008B32E7" w:rsidP="008B32E7">
      <w:pPr>
        <w:spacing w:after="120" w:line="240" w:lineRule="auto"/>
        <w:ind w:right="113"/>
        <w:jc w:val="both"/>
        <w:rPr>
          <w:rFonts w:eastAsiaTheme="minorEastAsia" w:cstheme="minorHAnsi"/>
          <w:color w:val="000000" w:themeColor="text1"/>
          <w:kern w:val="24"/>
          <w:sz w:val="16"/>
          <w:szCs w:val="16"/>
          <w:lang w:val="en-GB" w:eastAsia="es-ES"/>
        </w:rPr>
      </w:pPr>
    </w:p>
    <w:p w14:paraId="511BAC1F" w14:textId="3F13310F" w:rsidR="008B32E7" w:rsidRPr="008B32E7" w:rsidRDefault="008B32E7" w:rsidP="008B32E7">
      <w:pPr>
        <w:spacing w:after="120" w:line="240" w:lineRule="auto"/>
        <w:ind w:right="113"/>
        <w:jc w:val="center"/>
        <w:rPr>
          <w:rFonts w:eastAsiaTheme="minorEastAsia" w:cstheme="minorHAnsi"/>
          <w:b/>
          <w:bCs/>
          <w:color w:val="000000" w:themeColor="text1"/>
          <w:kern w:val="24"/>
          <w:sz w:val="16"/>
          <w:szCs w:val="16"/>
          <w:lang w:val="en-GB" w:eastAsia="es-ES"/>
        </w:rPr>
      </w:pPr>
      <w:r w:rsidRPr="008B32E7">
        <w:rPr>
          <w:rFonts w:eastAsia="Times New Roman" w:cstheme="minorHAnsi"/>
          <w:b/>
          <w:bCs/>
          <w:noProof/>
          <w:color w:val="000000" w:themeColor="text1"/>
          <w:sz w:val="20"/>
          <w:szCs w:val="20"/>
          <w:lang w:eastAsia="es-ES"/>
        </w:rPr>
        <w:lastRenderedPageBreak/>
        <w:drawing>
          <wp:inline distT="0" distB="0" distL="0" distR="0" wp14:anchorId="609FA789" wp14:editId="67EB0B08">
            <wp:extent cx="4060252" cy="284471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092" cy="2892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062F2" w14:textId="77777777" w:rsidR="008B32E7" w:rsidRPr="00FB6B1B" w:rsidRDefault="008B32E7" w:rsidP="008B32E7">
      <w:pPr>
        <w:autoSpaceDE w:val="0"/>
        <w:autoSpaceDN w:val="0"/>
        <w:adjustRightInd w:val="0"/>
        <w:spacing w:after="60" w:line="240" w:lineRule="auto"/>
        <w:ind w:left="284" w:right="284"/>
        <w:jc w:val="both"/>
        <w:rPr>
          <w:rFonts w:cs="Calibri"/>
          <w:sz w:val="18"/>
          <w:szCs w:val="18"/>
        </w:rPr>
      </w:pPr>
      <w:r w:rsidRPr="008B32E7">
        <w:rPr>
          <w:rFonts w:cs="Calibri"/>
          <w:b/>
          <w:bCs/>
          <w:sz w:val="18"/>
          <w:szCs w:val="18"/>
          <w:lang w:val="en-GB"/>
        </w:rPr>
        <w:t xml:space="preserve">Functional characterization of differentially expressed proteins in roots of Arabidopsis plants cultured in the presence of VCs emitted by </w:t>
      </w:r>
      <w:r w:rsidRPr="008B32E7">
        <w:rPr>
          <w:rFonts w:cs="Calibri"/>
          <w:b/>
          <w:bCs/>
          <w:i/>
          <w:sz w:val="18"/>
          <w:szCs w:val="18"/>
          <w:lang w:val="en-GB"/>
        </w:rPr>
        <w:t xml:space="preserve">P. </w:t>
      </w:r>
      <w:proofErr w:type="spellStart"/>
      <w:r w:rsidRPr="008B32E7">
        <w:rPr>
          <w:rFonts w:cs="Calibri"/>
          <w:b/>
          <w:bCs/>
          <w:i/>
          <w:sz w:val="18"/>
          <w:szCs w:val="18"/>
          <w:lang w:val="en-GB"/>
        </w:rPr>
        <w:t>aurantiogriseum</w:t>
      </w:r>
      <w:proofErr w:type="spellEnd"/>
      <w:r w:rsidRPr="008B32E7">
        <w:rPr>
          <w:rFonts w:cs="Calibri"/>
          <w:b/>
          <w:bCs/>
          <w:sz w:val="18"/>
          <w:szCs w:val="18"/>
          <w:lang w:val="en-GB"/>
        </w:rPr>
        <w:t>. The proteins that were significantly down- and up-regulated</w:t>
      </w:r>
      <w:r w:rsidRPr="00114282">
        <w:rPr>
          <w:rFonts w:cs="Calibri"/>
          <w:sz w:val="18"/>
          <w:szCs w:val="18"/>
          <w:lang w:val="en-GB"/>
        </w:rPr>
        <w:t xml:space="preserve"> following VC exposure were sorted according to functional categories assigned by </w:t>
      </w:r>
      <w:proofErr w:type="spellStart"/>
      <w:r w:rsidRPr="00114282">
        <w:rPr>
          <w:rFonts w:cs="Calibri"/>
          <w:sz w:val="18"/>
          <w:szCs w:val="18"/>
          <w:lang w:val="en-GB"/>
        </w:rPr>
        <w:t>MapMan</w:t>
      </w:r>
      <w:proofErr w:type="spellEnd"/>
      <w:r w:rsidRPr="00114282">
        <w:rPr>
          <w:rFonts w:cs="Calibri"/>
          <w:sz w:val="18"/>
          <w:szCs w:val="18"/>
          <w:lang w:val="en-GB"/>
        </w:rPr>
        <w:t xml:space="preserve"> software. Gray and black bars indicate numbers of up- and down-regulated proteins in each cat</w:t>
      </w:r>
      <w:r>
        <w:rPr>
          <w:rFonts w:cs="Calibri"/>
          <w:sz w:val="18"/>
          <w:szCs w:val="18"/>
          <w:lang w:val="en-GB"/>
        </w:rPr>
        <w:t xml:space="preserve">egory, respectively. </w:t>
      </w:r>
      <w:r w:rsidRPr="00FB6B1B">
        <w:rPr>
          <w:rFonts w:cs="Calibri"/>
          <w:sz w:val="18"/>
          <w:szCs w:val="18"/>
        </w:rPr>
        <w:t xml:space="preserve">Data </w:t>
      </w:r>
      <w:proofErr w:type="spellStart"/>
      <w:r w:rsidRPr="00FB6B1B">
        <w:rPr>
          <w:rFonts w:cs="Calibri"/>
          <w:sz w:val="18"/>
          <w:szCs w:val="18"/>
        </w:rPr>
        <w:t>from</w:t>
      </w:r>
      <w:proofErr w:type="spellEnd"/>
      <w:r w:rsidRPr="00FB6B1B">
        <w:rPr>
          <w:rFonts w:cs="Calibri"/>
          <w:sz w:val="18"/>
          <w:szCs w:val="18"/>
        </w:rPr>
        <w:t xml:space="preserve"> </w:t>
      </w:r>
      <w:hyperlink r:id="rId11" w:history="1">
        <w:r w:rsidRPr="00FB6B1B">
          <w:rPr>
            <w:rStyle w:val="Hipervnculo"/>
            <w:rFonts w:cs="Calibri"/>
            <w:color w:val="000000" w:themeColor="text1"/>
            <w:sz w:val="18"/>
            <w:szCs w:val="18"/>
          </w:rPr>
          <w:t>García-Gómez et al., 2020</w:t>
        </w:r>
      </w:hyperlink>
      <w:r w:rsidRPr="00FB6B1B">
        <w:rPr>
          <w:rFonts w:cs="Calibri"/>
          <w:sz w:val="18"/>
          <w:szCs w:val="18"/>
        </w:rPr>
        <w:t>.</w:t>
      </w:r>
    </w:p>
    <w:p w14:paraId="5E4DEFA7" w14:textId="77777777" w:rsidR="008B32E7" w:rsidRPr="00FB6B1B" w:rsidRDefault="008B32E7" w:rsidP="008B32E7">
      <w:pPr>
        <w:spacing w:after="120" w:line="240" w:lineRule="auto"/>
        <w:ind w:right="113"/>
        <w:jc w:val="both"/>
        <w:rPr>
          <w:rFonts w:eastAsiaTheme="minorEastAsia" w:cstheme="minorHAnsi"/>
          <w:color w:val="000000" w:themeColor="text1"/>
          <w:kern w:val="24"/>
          <w:sz w:val="16"/>
          <w:szCs w:val="16"/>
          <w:lang w:eastAsia="es-ES"/>
        </w:rPr>
      </w:pPr>
    </w:p>
    <w:p w14:paraId="0DA13528" w14:textId="77777777" w:rsidR="00836900" w:rsidRPr="00FB6B1B" w:rsidRDefault="00836900" w:rsidP="008B32E7">
      <w:pPr>
        <w:spacing w:after="120" w:line="276" w:lineRule="auto"/>
        <w:jc w:val="both"/>
        <w:rPr>
          <w:rFonts w:ascii="Calibri" w:eastAsia="Calibri" w:hAnsi="Calibri" w:cs="Times New Roman"/>
          <w:b/>
          <w:bCs/>
        </w:rPr>
      </w:pPr>
      <w:bookmarkStart w:id="0" w:name="_Hlk58653600"/>
      <w:bookmarkEnd w:id="0"/>
    </w:p>
    <w:sectPr w:rsidR="00836900" w:rsidRPr="00FB6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0A5A"/>
    <w:multiLevelType w:val="hybridMultilevel"/>
    <w:tmpl w:val="2D86C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47B2"/>
    <w:multiLevelType w:val="hybridMultilevel"/>
    <w:tmpl w:val="24006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7F46"/>
    <w:multiLevelType w:val="hybridMultilevel"/>
    <w:tmpl w:val="EF32E4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E06DE"/>
    <w:multiLevelType w:val="hybridMultilevel"/>
    <w:tmpl w:val="24006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E7"/>
    <w:rsid w:val="002656D5"/>
    <w:rsid w:val="00605F06"/>
    <w:rsid w:val="00836900"/>
    <w:rsid w:val="008B32E7"/>
    <w:rsid w:val="00B5152D"/>
    <w:rsid w:val="00C26B81"/>
    <w:rsid w:val="00EC57B9"/>
    <w:rsid w:val="00ED7C55"/>
    <w:rsid w:val="00F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4EB5"/>
  <w15:chartTrackingRefBased/>
  <w15:docId w15:val="{B3F9D3F6-EF96-4CAC-9584-E6511F6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2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B32E7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8B32E7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3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B32E7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copre">
    <w:name w:val="acopre"/>
    <w:basedOn w:val="Fuentedeprrafopredeter"/>
    <w:rsid w:val="008B32E7"/>
  </w:style>
  <w:style w:type="paragraph" w:customStyle="1" w:styleId="Default">
    <w:name w:val="Default"/>
    <w:rsid w:val="008B32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pls.2021.752653/f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ontiersin.org/articles/10.3389/fpls.2021.752653/full" TargetMode="External"/><Relationship Id="rId11" Type="http://schemas.openxmlformats.org/officeDocument/2006/relationships/hyperlink" Target="https://onlinelibrary.wiley.com/doi/abs/10.1111/pce.13817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Edurne Baroja</dc:creator>
  <cp:keywords/>
  <dc:description/>
  <cp:lastModifiedBy>Edurne Baroja</cp:lastModifiedBy>
  <cp:revision>3</cp:revision>
  <dcterms:created xsi:type="dcterms:W3CDTF">2024-08-01T15:00:00Z</dcterms:created>
  <dcterms:modified xsi:type="dcterms:W3CDTF">2024-08-01T15:01:00Z</dcterms:modified>
</cp:coreProperties>
</file>